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/>
        <w:ind w:firstLine="567"/>
        <w:jc w:val="right"/>
        <w:rPr>
          <w:sz w:val="22"/>
          <w:szCs w:val="22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Ариф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67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48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6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4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6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гостиничной деятельности по адресу: ХМАО - Югра, г. Нефтеюганск, ул. Набережная, строение 21А (далее - Объект, гостиница «Берег»), нарушил требования по антитеррористической защищенности, а именно: не обеспечил объект системой хранения видеозаписей сроком не менее 30 дней, информационным стендом, содержащим схему эвакуации при возникновении чрезвычайных ситуаций, телефоны ответственных лиц, аварийно-спасательных служб, правоохранительных органов по месту расположения гостиницы, средствами защиты людей от опасных факторов пожара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, вину признает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следует из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помощник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прокурора </w:t>
      </w:r>
      <w:r>
        <w:rPr>
          <w:rStyle w:val="cat-UserDefinedgrp-69rplc-19"/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 о возбуждении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поддержал в полном объеме, просил 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>. к административной ответствен</w:t>
      </w:r>
      <w:r>
        <w:rPr>
          <w:rFonts w:ascii="Times New Roman" w:eastAsia="Times New Roman" w:hAnsi="Times New Roman" w:cs="Times New Roman"/>
          <w:sz w:val="26"/>
          <w:szCs w:val="26"/>
        </w:rPr>
        <w:t>ности по ч. 1 ст. 20.35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межрайпрокурора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70rplc-22"/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21.02.2025 индивидуальный предприниматель Мамедов </w:t>
      </w:r>
      <w:r>
        <w:rPr>
          <w:rFonts w:ascii="Times New Roman" w:eastAsia="Times New Roman" w:hAnsi="Times New Roman" w:cs="Times New Roman"/>
          <w:sz w:val="26"/>
          <w:szCs w:val="26"/>
        </w:rPr>
        <w:t>К.А., при осуществлении гостиничной деятельности по адресу: ХМАО - Югра, г. Нефтеюганск, ул. Набережная, строение 21А (далее - Объект, гостиница «Берег»), нарушил требования по антитеррористической защищенности, а именно: не обеспечил объект системой хранения видеозаписей сроком не менее 30 дней, информационным стендом, содержащим схему эвакуации при возникновении чрезвычайных ситуаций, телефоны ответственных лиц, аварийно-спасательных служб, правоохранительных органов по месту расположения гостиницы, средствами защиты людей от опасных факторов пожара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решением о проведении проверки 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предмет исполнения требований законодательства об антитеррористической защищенности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пожарной безопасности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ЕГРН;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</w:t>
      </w:r>
      <w:r>
        <w:rPr>
          <w:rFonts w:ascii="Times New Roman" w:eastAsia="Times New Roman" w:hAnsi="Times New Roman" w:cs="Times New Roman"/>
          <w:sz w:val="26"/>
          <w:szCs w:val="26"/>
        </w:rPr>
        <w:t>осмотра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гостиницы «</w:t>
      </w:r>
      <w:r>
        <w:rPr>
          <w:rFonts w:ascii="Times New Roman" w:eastAsia="Times New Roman" w:hAnsi="Times New Roman" w:cs="Times New Roman"/>
          <w:sz w:val="26"/>
          <w:szCs w:val="26"/>
        </w:rPr>
        <w:t>Берег</w:t>
      </w:r>
      <w:r>
        <w:rPr>
          <w:rFonts w:ascii="Times New Roman" w:eastAsia="Times New Roman" w:hAnsi="Times New Roman" w:cs="Times New Roman"/>
          <w:sz w:val="26"/>
          <w:szCs w:val="26"/>
        </w:rPr>
        <w:t>», ИП Мамедов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К.А., расположенной по адресу: ХМАО-Югра, г. Нефтеюганск, ул. Набережная, строение 21А, от </w:t>
      </w:r>
      <w:r>
        <w:rPr>
          <w:rFonts w:ascii="Times New Roman" w:eastAsia="Times New Roman" w:hAnsi="Times New Roman" w:cs="Times New Roman"/>
          <w:sz w:val="26"/>
          <w:szCs w:val="26"/>
        </w:rPr>
        <w:t>14.07.2025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запросом заместителя межрайонного прокурора начальнику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МОВО-филиала ФГКУ «УВО ВНГ России по ХМАО-Югре» 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 о выделении специалистов для участия в надзорных мероприятиях;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представлением об устранении нарушений закона от 21.07.2025;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решением о проведении проверки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 в отношении ИП Мамедова К.А. на предмет исполнения требований законодательства об ан</w:t>
      </w:r>
      <w:r>
        <w:rPr>
          <w:rFonts w:ascii="Times New Roman" w:eastAsia="Times New Roman" w:hAnsi="Times New Roman" w:cs="Times New Roman"/>
          <w:sz w:val="26"/>
          <w:szCs w:val="26"/>
        </w:rPr>
        <w:t>титеррористической защищенности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требованием заместителя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ЕГРИП от </w:t>
      </w:r>
      <w:r>
        <w:rPr>
          <w:rFonts w:ascii="Times New Roman" w:eastAsia="Times New Roman" w:hAnsi="Times New Roman" w:cs="Times New Roman"/>
          <w:sz w:val="26"/>
          <w:szCs w:val="26"/>
        </w:rPr>
        <w:t>03.12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осмотра гостиницы «Берег», ИП Мамедова К.А., расположенной по адресу: ХМАО-Югра, г. Нефтеюганск, ул. Набережная, строение 21А, от </w:t>
      </w:r>
      <w:r>
        <w:rPr>
          <w:rFonts w:ascii="Times New Roman" w:eastAsia="Times New Roman" w:hAnsi="Times New Roman" w:cs="Times New Roman"/>
          <w:sz w:val="26"/>
          <w:szCs w:val="26"/>
        </w:rPr>
        <w:t>27.11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актом обследования и категорирования от 20.02.2024;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явке в межрайонную прокуратуру для принятия участия в возбуждении дела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 Существенных недостатков, влекущих невозможность использования документов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 20.35 Кодекса Российской Федерации об административных правонарушениях,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влечет наложение административного штрафа на должностных лиц - от тридцати тысяч до пятидесяти тысяч рублей или дисквалификацию на срок от шести месяцев до трех лет.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5 Федерального закона от 06.03.2006 № 35-ФЗ «О противодействии терроризму» физические лица, осуществляющие предпринимательскую деятельность без образования юридического лица, юридические лица обеспечивают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выполнение требований к антитеррористической защищенности в отношении объектов, находящихся в их собственности или принадлежащих им на ином законном основании.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пункту 10 Концепции противодействия терроризму в Российской Федерации (далее - Концепция), утв. Указом Президента Российской Федерации от 05.10.2009,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Подпунктом «Б» пункта 13 Концепции установлено, что предупреждение терроризма осуществляется посредством реализации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в соответствии с и. 4 ч. 2 ст. 5 Федерального закона от 06.03.2006 № 35-ФЗ «О противодействии терроризму» устанавливает Правительство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Требования к антитеррористической защищенности гостиниц и иных средств размещения утверждены постановлением Правительства Российской Федерации от 14.04.2017 № 447 (далее - Требования № 447).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п. 18, 20, 22 Требований № 447 Все гостиницы независимо от установленной категории опасности оборудуются: системой видеонаблюдения, системой пожарной безопасности, информационными стендами (табло), содержащими схему эвакуации при возникновении чрезвычайных ситуаций, телефоны ответственных лиц, аварийно-спасательных служб, правоохранительных органов по месту расположения гостиницы.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гостиницы, архивирование и хранение данных в течение 30 дней.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Система пожарной безопасности должна включать в себя, среди прочего, оснащение гостиницы средствами защиты людей от опасных факторов пожара.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выписке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ЕГРИП от 03.12.2025 № </w:t>
      </w:r>
      <w:r>
        <w:rPr>
          <w:rStyle w:val="cat-UserDefinedgrp-71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ИП Мамедов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</w:t>
      </w:r>
      <w:r>
        <w:rPr>
          <w:rFonts w:ascii="Times New Roman" w:eastAsia="Times New Roman" w:hAnsi="Times New Roman" w:cs="Times New Roman"/>
          <w:sz w:val="26"/>
          <w:szCs w:val="26"/>
        </w:rPr>
        <w:t>вляет вид деятельности по ОКВЭД</w:t>
      </w:r>
      <w:r>
        <w:rPr>
          <w:rFonts w:ascii="Times New Roman" w:eastAsia="Times New Roman" w:hAnsi="Times New Roman" w:cs="Times New Roman"/>
          <w:sz w:val="26"/>
          <w:szCs w:val="26"/>
        </w:rPr>
        <w:t>: 55.10 «Деятельность гостиниц и прочих мест для временного проживания».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выписок из ЕГРН от 10.07.2025 № </w:t>
      </w:r>
      <w:r>
        <w:rPr>
          <w:rStyle w:val="cat-UserDefinedgrp-72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Канану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Ариф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праве собственности принадлежит объект недвижимос</w:t>
      </w:r>
      <w:r>
        <w:rPr>
          <w:rFonts w:ascii="Times New Roman" w:eastAsia="Times New Roman" w:hAnsi="Times New Roman" w:cs="Times New Roman"/>
          <w:sz w:val="26"/>
          <w:szCs w:val="26"/>
        </w:rPr>
        <w:t>ти, расположенный по адресу: ХМ</w:t>
      </w:r>
      <w:r>
        <w:rPr>
          <w:rFonts w:ascii="Times New Roman" w:eastAsia="Times New Roman" w:hAnsi="Times New Roman" w:cs="Times New Roman"/>
          <w:sz w:val="26"/>
          <w:szCs w:val="26"/>
        </w:rPr>
        <w:t>АО - Югра, г. Нефтеюганск, ул. Набережная, строение 21 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актам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осмотра от 14.07.2025 и от 27.11.2025 по вышеуказанному адресу располагается гостиница «Берег», правообладателем ко</w:t>
      </w:r>
      <w:r>
        <w:rPr>
          <w:rFonts w:ascii="Times New Roman" w:eastAsia="Times New Roman" w:hAnsi="Times New Roman" w:cs="Times New Roman"/>
          <w:sz w:val="26"/>
          <w:szCs w:val="26"/>
        </w:rPr>
        <w:t>торой является ИП Мамедов К.А.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Проведенными 14.07.2025 и 27.11.2025 межрайонной прокуратурой проверками в д</w:t>
      </w:r>
      <w:r>
        <w:rPr>
          <w:rFonts w:ascii="Times New Roman" w:eastAsia="Times New Roman" w:hAnsi="Times New Roman" w:cs="Times New Roman"/>
          <w:sz w:val="26"/>
          <w:szCs w:val="26"/>
        </w:rPr>
        <w:t>еятельности ИП Мамедова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установлены нарушения требований к антитеррористической защищенности гостиницы «Берег», расположенной по адресу: ХМАО - Югра, г. Нефтеюганск, ул. Набережная, строение 21 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состоянию на 27.11.2025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 нарушений не устранена,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именно,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«а», «е» п. 18, п. 20,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«б» п. 22 Требований № 447, объект не обеспечен системой </w:t>
      </w:r>
      <w:r>
        <w:rPr>
          <w:rFonts w:ascii="Times New Roman" w:eastAsia="Times New Roman" w:hAnsi="Times New Roman" w:cs="Times New Roman"/>
          <w:sz w:val="26"/>
          <w:szCs w:val="26"/>
        </w:rPr>
        <w:t>хранения видеозаписей сроком не менее 30 дней, информационным стендом, содержащим схему эвакуации при возникновении чрезвычайных ситуаций, телефоны ответственных лиц, аварийно-спасательных служб, правоохранительных органов по месту расположения гостиницы, средствами защиты людей от опасных факторов пожара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считает, что 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Мамедовым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 в судебном заседании установлен и подтвержден совокупностью собранных по делу доказательств, и 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ч. 1 ст. 20.35 Кодекса РФ об административных правонарушениях как нарушение требований к обеспечению требований к антитеррористической защищенности объектов (территорий), за исключением случаев, предусмотренных частью 2 указанной статьи, статьями 11.15.1 и 20.30 указанного Кодекса, если эти действия не содержат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признания совершенного административного правонарушения малозначительным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Кодекса РФ об административных правонарушениях об административных правонарушениях, исключающих производство по делу об административном правонарушении, мировым судьей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установленные ст. 4.5 Кодекса РФ об административных правонарушениях, не истекли.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в соответствии с требованиями статей 3.1, 4.1 КоАП РФ, в минимальных пределах санкции, предусмотренной ч.1 ст. 20.35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1.3 - 3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 Кодекса.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4" w:anchor="/document/409383248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Конституционного Суда РФ от 18 июля 2024 года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39-П "По делу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конституционности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в связи с жалобой общества с ограниченной ответственностью "НТСИ Телеком" положение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признано не соответствующим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3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Конституции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ее статьям 19 (части 1 и 2), 34 (часть 1), 35 (части 1, 2 и 3), 55 (часть 3) и 75.1, в той мере, в какой оно в системе действующего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правового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 по смыслу, придаваемому ему судебным толкованием, не предоставляет возможности льготной (в половинном размере) уплаты административного штрафа в случае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выявления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ходе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прокуратуры</w:t>
      </w:r>
      <w:r>
        <w:rPr>
          <w:rFonts w:ascii="Times New Roman" w:eastAsia="Times New Roman" w:hAnsi="Times New Roman" w:cs="Times New Roman"/>
          <w:sz w:val="26"/>
          <w:szCs w:val="26"/>
        </w:rPr>
        <w:t>, с указанием на то, что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впредь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изменений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правовое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настоящим Постановлением в случае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выявления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ходе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прокуратуры</w:t>
      </w:r>
      <w:r>
        <w:rPr>
          <w:rFonts w:ascii="Times New Roman" w:eastAsia="Times New Roman" w:hAnsi="Times New Roman" w:cs="Times New Roman"/>
          <w:sz w:val="26"/>
          <w:szCs w:val="26"/>
        </w:rPr>
        <w:t>, должна предоставляться предусмотренная положением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возможность льготной (в половинном размере) уплаты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322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1.3-3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могут быть применимы в том числе и при выявлении правонарушения в ходе осуществления прокурорского надзора.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Поскольку указанное правонарушение выявлено прокуратурой в ходе проведения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исполнения законодательства об </w:t>
      </w:r>
      <w:r>
        <w:rPr>
          <w:rFonts w:ascii="Times New Roman" w:eastAsia="Times New Roman" w:hAnsi="Times New Roman" w:cs="Times New Roman"/>
          <w:sz w:val="26"/>
          <w:szCs w:val="26"/>
        </w:rPr>
        <w:t>антитеррористической защищенности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в данном случае имеются основания для 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половины суммы назначенного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Ариф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 20.35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30 000 (тридцать тысяч) рублей.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0412365400395012942520185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 Кодекса.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в течение десяти дней со дня получения копии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12"/>
          <w:szCs w:val="12"/>
        </w:rPr>
      </w:pPr>
    </w:p>
    <w:tbl>
      <w:tblPr>
        <w:tblW w:w="100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7"/>
        <w:gridCol w:w="1712"/>
      </w:tblGrid>
      <w:tr>
        <w:tblPrEx>
          <w:tblW w:w="100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tbl>
            <w:tblPr>
              <w:tblpPr w:leftFromText="180" w:rightFromText="180" w:topFromText="0" w:bottomFromText="0" w:vertAnchor="text" w:tblpY="1"/>
              <w:tblOverlap w:val="never"/>
              <w:tblW w:w="10581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32"/>
              <w:gridCol w:w="5149"/>
            </w:tblGrid>
            <w:tr>
              <w:tblPrEx>
                <w:tblW w:w="10581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6"/>
              </w:trPr>
              <w:tc>
                <w:tcPr>
                  <w:tcW w:w="5387" w:type="dxa"/>
                  <w:noWrap w:val="0"/>
                  <w:tcMar>
                    <w:top w:w="5" w:type="dxa"/>
                    <w:left w:w="113" w:type="dxa"/>
                    <w:bottom w:w="5" w:type="dxa"/>
                    <w:right w:w="113" w:type="dxa"/>
                  </w:tcMar>
                  <w:vAlign w:val="top"/>
                  <w:hideMark/>
                </w:tcPr>
                <w:p>
                  <w:pPr>
                    <w:spacing w:before="0" w:after="0"/>
                    <w:ind w:left="959" w:hanging="959"/>
                    <w:jc w:val="center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hyperlink r:id="rId6" w:history="1"/>
                </w:p>
              </w:tc>
              <w:tc>
                <w:tcPr>
                  <w:tcW w:w="5194" w:type="dxa"/>
                  <w:noWrap w:val="0"/>
                  <w:tcMar>
                    <w:top w:w="5" w:type="dxa"/>
                    <w:left w:w="113" w:type="dxa"/>
                    <w:bottom w:w="5" w:type="dxa"/>
                    <w:right w:w="113" w:type="dxa"/>
                  </w:tcMar>
                  <w:vAlign w:val="top"/>
                  <w:hideMark/>
                </w:tcPr>
                <w:p>
                  <w:pPr>
                    <w:spacing w:before="0" w:after="0"/>
                    <w:rPr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42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743" w:hanging="743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</w:pP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0248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67rplc-5">
    <w:name w:val="cat-ExternalSystemDefined grp-67 rplc-5"/>
    <w:basedOn w:val="DefaultParagraphFont"/>
  </w:style>
  <w:style w:type="character" w:customStyle="1" w:styleId="cat-PassportDatagrp-48rplc-6">
    <w:name w:val="cat-PassportData grp-48 rplc-6"/>
    <w:basedOn w:val="DefaultParagraphFont"/>
  </w:style>
  <w:style w:type="character" w:customStyle="1" w:styleId="cat-UserDefinedgrp-68rplc-7">
    <w:name w:val="cat-UserDefined grp-68 rplc-7"/>
    <w:basedOn w:val="DefaultParagraphFont"/>
  </w:style>
  <w:style w:type="character" w:customStyle="1" w:styleId="cat-PassportDatagrp-49rplc-9">
    <w:name w:val="cat-PassportData grp-49 rplc-9"/>
    <w:basedOn w:val="DefaultParagraphFont"/>
  </w:style>
  <w:style w:type="character" w:customStyle="1" w:styleId="cat-ExternalSystemDefinedgrp-66rplc-10">
    <w:name w:val="cat-ExternalSystemDefined grp-66 rplc-10"/>
    <w:basedOn w:val="DefaultParagraphFont"/>
  </w:style>
  <w:style w:type="character" w:customStyle="1" w:styleId="cat-UserDefinedgrp-69rplc-19">
    <w:name w:val="cat-UserDefined grp-69 rplc-19"/>
    <w:basedOn w:val="DefaultParagraphFont"/>
  </w:style>
  <w:style w:type="character" w:customStyle="1" w:styleId="cat-UserDefinedgrp-70rplc-22">
    <w:name w:val="cat-UserDefined grp-70 rplc-22"/>
    <w:basedOn w:val="DefaultParagraphFont"/>
  </w:style>
  <w:style w:type="character" w:customStyle="1" w:styleId="cat-UserDefinedgrp-71rplc-52">
    <w:name w:val="cat-UserDefined grp-71 rplc-52"/>
    <w:basedOn w:val="DefaultParagraphFont"/>
  </w:style>
  <w:style w:type="character" w:customStyle="1" w:styleId="cat-UserDefinedgrp-72rplc-56">
    <w:name w:val="cat-UserDefined grp-72 rplc-56"/>
    <w:basedOn w:val="DefaultParagraphFont"/>
  </w:style>
  <w:style w:type="character" w:customStyle="1" w:styleId="cat-UserDefinedgrp-73rplc-86">
    <w:name w:val="cat-UserDefined grp-73 rplc-86"/>
    <w:basedOn w:val="DefaultParagraphFont"/>
  </w:style>
  <w:style w:type="character" w:customStyle="1" w:styleId="cat-UserDefinedgrp-74rplc-89">
    <w:name w:val="cat-UserDefined grp-74 rplc-8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B824-CE18-452D-AC51-BC2CF3AE8E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